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33" w:rsidRDefault="00B90065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0065" w:rsidRDefault="00B90065"/>
    <w:p w:rsidR="00B90065" w:rsidRDefault="00B90065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90065" w:rsidSect="00B90065">
      <w:pgSz w:w="11909" w:h="16834" w:code="9"/>
      <w:pgMar w:top="1440" w:right="936" w:bottom="1296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0065"/>
    <w:rsid w:val="0002163F"/>
    <w:rsid w:val="005952CA"/>
    <w:rsid w:val="006C2D0B"/>
    <w:rsid w:val="008D0833"/>
    <w:rsid w:val="00B90065"/>
    <w:rsid w:val="00C20333"/>
    <w:rsid w:val="00E103DF"/>
    <w:rsid w:val="00F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bez ET-a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 +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FET -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vanmaterična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prirodne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hape val="box"/>
        <c:axId val="104418304"/>
        <c:axId val="104452864"/>
        <c:axId val="0"/>
      </c:bar3DChart>
      <c:catAx>
        <c:axId val="104418304"/>
        <c:scaling>
          <c:orientation val="minMax"/>
        </c:scaling>
        <c:axPos val="b"/>
        <c:numFmt formatCode="General" sourceLinked="1"/>
        <c:tickLblPos val="nextTo"/>
        <c:crossAx val="104452864"/>
        <c:crosses val="autoZero"/>
        <c:auto val="1"/>
        <c:lblAlgn val="ctr"/>
        <c:lblOffset val="100"/>
      </c:catAx>
      <c:valAx>
        <c:axId val="104452864"/>
        <c:scaling>
          <c:orientation val="minMax"/>
        </c:scaling>
        <c:axPos val="l"/>
        <c:majorGridlines/>
        <c:numFmt formatCode="General" sourceLinked="1"/>
        <c:tickLblPos val="nextTo"/>
        <c:crossAx val="10441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4"/>
            <c:explosion val="23"/>
          </c:dPt>
          <c:cat>
            <c:strRef>
              <c:f>Sheet1!$A$2:$A$10</c:f>
              <c:strCache>
                <c:ptCount val="9"/>
                <c:pt idx="0">
                  <c:v>beta +</c:v>
                </c:pt>
                <c:pt idx="1">
                  <c:v>beta -</c:v>
                </c:pt>
                <c:pt idx="2">
                  <c:v>bez ET-a</c:v>
                </c:pt>
                <c:pt idx="3">
                  <c:v>FET +</c:v>
                </c:pt>
                <c:pt idx="4">
                  <c:v>FET -</c:v>
                </c:pt>
                <c:pt idx="5">
                  <c:v>biohemijska</c:v>
                </c:pt>
                <c:pt idx="6">
                  <c:v>missed</c:v>
                </c:pt>
                <c:pt idx="7">
                  <c:v>vanmaterična</c:v>
                </c:pt>
                <c:pt idx="8">
                  <c:v>prirodne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15</c:v>
                </c:pt>
                <c:pt idx="1">
                  <c:v>28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0.48785</cdr:x>
      <cdr:y>0.24405</cdr:y>
    </cdr:from>
    <cdr:to>
      <cdr:x>0.60417</cdr:x>
      <cdr:y>0.33333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76525" y="781050"/>
          <a:ext cx="6381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23,81%</a:t>
          </a:r>
          <a:endParaRPr lang="en-US" sz="1100"/>
        </a:p>
      </cdr:txBody>
    </cdr:sp>
  </cdr:relSizeAnchor>
  <cdr:relSizeAnchor xmlns:cdr="http://schemas.openxmlformats.org/drawingml/2006/chartDrawing">
    <cdr:from>
      <cdr:x>0.43403</cdr:x>
      <cdr:y>0.61012</cdr:y>
    </cdr:from>
    <cdr:to>
      <cdr:x>0.58681</cdr:x>
      <cdr:y>0.72321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1250" y="1952625"/>
          <a:ext cx="8382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44,44%</a:t>
          </a:r>
          <a:endParaRPr lang="en-US" sz="1100"/>
        </a:p>
      </cdr:txBody>
    </cdr:sp>
  </cdr:relSizeAnchor>
  <cdr:relSizeAnchor xmlns:cdr="http://schemas.openxmlformats.org/drawingml/2006/chartDrawing">
    <cdr:from>
      <cdr:x>0.05382</cdr:x>
      <cdr:y>0.52381</cdr:y>
    </cdr:from>
    <cdr:to>
      <cdr:x>0.16667</cdr:x>
      <cdr:y>0.60119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5275" y="1676400"/>
          <a:ext cx="6191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6,35%</a:t>
          </a:r>
          <a:endParaRPr lang="en-US" sz="1100"/>
        </a:p>
      </cdr:txBody>
    </cdr:sp>
  </cdr:relSizeAnchor>
  <cdr:relSizeAnchor xmlns:cdr="http://schemas.openxmlformats.org/drawingml/2006/chartDrawing">
    <cdr:from>
      <cdr:x>0.05208</cdr:x>
      <cdr:y>0.41667</cdr:y>
    </cdr:from>
    <cdr:to>
      <cdr:x>0.19444</cdr:x>
      <cdr:y>0.48512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50" y="1333500"/>
          <a:ext cx="7810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6,35%</a:t>
          </a:r>
          <a:endParaRPr lang="en-US" sz="1100"/>
        </a:p>
      </cdr:txBody>
    </cdr:sp>
  </cdr:relSizeAnchor>
  <cdr:relSizeAnchor xmlns:cdr="http://schemas.openxmlformats.org/drawingml/2006/chartDrawing">
    <cdr:from>
      <cdr:x>0.12674</cdr:x>
      <cdr:y>0.30357</cdr:y>
    </cdr:from>
    <cdr:to>
      <cdr:x>0.23958</cdr:x>
      <cdr:y>0.39286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95325" y="971550"/>
          <a:ext cx="6191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11,11%</a:t>
          </a:r>
          <a:endParaRPr lang="en-US" sz="1100"/>
        </a:p>
      </cdr:txBody>
    </cdr:sp>
  </cdr:relSizeAnchor>
  <cdr:relSizeAnchor xmlns:cdr="http://schemas.openxmlformats.org/drawingml/2006/chartDrawing">
    <cdr:from>
      <cdr:x>0.19097</cdr:x>
      <cdr:y>0.20833</cdr:y>
    </cdr:from>
    <cdr:to>
      <cdr:x>0.33854</cdr:x>
      <cdr:y>0.29464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047750" y="666750"/>
          <a:ext cx="8096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4,76%</a:t>
          </a:r>
          <a:endParaRPr lang="en-US" sz="1100"/>
        </a:p>
      </cdr:txBody>
    </cdr:sp>
  </cdr:relSizeAnchor>
  <cdr:relSizeAnchor xmlns:cdr="http://schemas.openxmlformats.org/drawingml/2006/chartDrawing">
    <cdr:from>
      <cdr:x>0.22743</cdr:x>
      <cdr:y>0.16071</cdr:y>
    </cdr:from>
    <cdr:to>
      <cdr:x>0.32986</cdr:x>
      <cdr:y>0.22321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247775" y="514349"/>
          <a:ext cx="5619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1,59%</a:t>
          </a:r>
          <a:endParaRPr lang="en-US" sz="1100"/>
        </a:p>
      </cdr:txBody>
    </cdr:sp>
  </cdr:relSizeAnchor>
  <cdr:relSizeAnchor xmlns:cdr="http://schemas.openxmlformats.org/drawingml/2006/chartDrawing">
    <cdr:from>
      <cdr:x>0.3559</cdr:x>
      <cdr:y>0.13095</cdr:y>
    </cdr:from>
    <cdr:to>
      <cdr:x>0.52257</cdr:x>
      <cdr:y>0.41667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952625" y="419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0.27431</cdr:x>
      <cdr:y>0.12202</cdr:y>
    </cdr:from>
    <cdr:to>
      <cdr:x>0.375</cdr:x>
      <cdr:y>0.1875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504950" y="390526"/>
          <a:ext cx="5524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1,59%</a:t>
          </a:r>
          <a:endParaRPr lang="en-US" sz="1100"/>
        </a:p>
      </cdr:txBody>
    </cdr:sp>
  </cdr:relSizeAnchor>
  <cdr:relSizeAnchor xmlns:cdr="http://schemas.openxmlformats.org/drawingml/2006/chartDrawing">
    <cdr:from>
      <cdr:x>0.35417</cdr:x>
      <cdr:y>0.22024</cdr:y>
    </cdr:from>
    <cdr:to>
      <cdr:x>0.39931</cdr:x>
      <cdr:y>0.27976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943100" y="704850"/>
          <a:ext cx="2476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r-Latn-RS" sz="1100"/>
            <a:t>3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DF8B-2478-4F9C-BA05-D7211CB1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SDG</cp:lastModifiedBy>
  <cp:revision>2</cp:revision>
  <dcterms:created xsi:type="dcterms:W3CDTF">2017-12-03T07:32:00Z</dcterms:created>
  <dcterms:modified xsi:type="dcterms:W3CDTF">2017-12-03T07:32:00Z</dcterms:modified>
</cp:coreProperties>
</file>